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jc w:val="center"/>
      </w:pPr>
      <w:r>
        <w:rPr>
          <w:b/>
          <w:color w:val="222B45"/>
          <w:sz w:val="32"/>
        </w:rPr>
        <w:t>PLIEGO DE ESPECIFICACIONES TÉCNICAS PARTICULARES</w:t>
      </w:r>
    </w:p>
    <w:p>
      <w:pPr>
        <w:spacing w:after="480"/>
        <w:jc w:val="center"/>
      </w:pPr>
      <w:r>
        <w:rPr>
          <w:b/>
          <w:color w:val="708090"/>
          <w:sz w:val="24"/>
        </w:rPr>
        <w:t>SISTEMA DE JUNTAS ELÁSTICAS DE DILATACIÓN TIPO THORMACK EN PUENTES Y VIADUCTOS</w:t>
      </w:r>
    </w:p>
    <w:p>
      <w:pPr>
        <w:spacing w:after="480"/>
        <w:jc w:val="left"/>
      </w:pPr>
      <w:r>
        <w:rPr>
          <w:i/>
          <w:color w:val="DC6400"/>
          <w:sz w:val="18"/>
        </w:rPr>
        <w:t>MODELO DE PLIEGO TÉCNICO PARA INTEGRACIÓN EN DOCUMENTOS DE LICITACIÓN</w:t>
        <w:br/>
        <w:t>PROVISTO POR FAMAVI (WWW.FAMAVI.COM.AR) — DOCK SUD, AVELLANEDA</w:t>
      </w:r>
    </w:p>
    <w:p>
      <w:pPr>
        <w:spacing w:before="360" w:after="120"/>
      </w:pPr>
      <w:r>
        <w:rPr>
          <w:b/>
          <w:color w:val="222B45"/>
          <w:sz w:val="26"/>
        </w:rPr>
        <w:t>1. OBJETO Y ALCANCE</w:t>
      </w:r>
    </w:p>
    <w:p>
      <w:pPr>
        <w:spacing w:after="200" w:line="276" w:lineRule="auto"/>
      </w:pPr>
      <w:r>
        <w:t>El presente pliego de especificaciones técnicas particulares tiene por objeto definir las condiciones requeridas para la provisión de materiales, equipos, mano de obra y la ejecución completa del sistema de juntas elásticas de dilatación tipo Thormack en los puentes, viaductos y losas de aproximación indicados en los planos del proyecto y de acuerdo a las directivas de la Inspección de Obra.</w:t>
      </w:r>
    </w:p>
    <w:p>
      <w:pPr>
        <w:spacing w:after="200" w:line="276" w:lineRule="auto"/>
      </w:pPr>
      <w:r>
        <w:t>El sistema Thormack consiste en un cordón elástico monolítico in situ que sustituye a las juntas mecánicas tradicionales, compuesto por una matriz de agregados pétreos seleccionados precalentados y un ligante asfáltico altamente modificado con polímeros elastoméricos SBS (estireno-butadieno-estireno), diseñado para absorber movimientos de dilatación y contracción de las losas de hasta ±25 mm y garantizar la estanqueidad absoluta de la luz de junta.</w:t>
      </w:r>
    </w:p>
    <w:p>
      <w:pPr>
        <w:spacing w:before="360" w:after="120"/>
      </w:pPr>
      <w:r>
        <w:rPr>
          <w:b/>
          <w:color w:val="222B45"/>
          <w:sz w:val="26"/>
        </w:rPr>
        <w:t>2. ESPECIFICACIÓN DE MATERIALES</w:t>
      </w:r>
    </w:p>
    <w:p>
      <w:pPr>
        <w:spacing w:after="200" w:line="276" w:lineRule="auto"/>
      </w:pPr>
      <w:r>
        <w:rPr>
          <w:b/>
        </w:rPr>
        <w:t>2.1. Ligante Elastomérico (Asfalto Modificado SBS):</w:t>
      </w:r>
      <w:r>
        <w:t xml:space="preserve"> El ligante elástico a utilizar consistirá en un asfalto modificado con polímeros SBS de alta performance que cumpla rigurosamente con los requisitos de la norma IRAM 6838 tipo SA-20. Deberá presentar excelente flexibilidad a bajas temperaturas para evitar fisuras y estabilidad a altas temperaturas para evitar el escurrimiento o deformación por el tránsito pesado. El calentamiento del ligante deberá realizarse mediante calderas de calefacción indirecta por camisa de aceite térmico a una temperatura controlada de entre 170°C y 190°C para evitar la degradación térmica de los polímeros.</w:t>
      </w:r>
    </w:p>
    <w:p>
      <w:pPr>
        <w:spacing w:after="200" w:line="276" w:lineRule="auto"/>
      </w:pPr>
      <w:r>
        <w:rPr>
          <w:b/>
        </w:rPr>
        <w:t>2.2. Áridos Pétreos Seleccionados:</w:t>
      </w:r>
      <w:r>
        <w:t xml:space="preserve"> Los agregados pétreos a incorporar serán de origen granítico o basáltico, limpios, sanos, exentos de polvo, arcilla u otras materias extrañas. La granulometría del árido deberá ser seleccionada y clasificada en rangos de 6 mm a 20 mm. Los agregados deberán calentarse previamente a una temperatura de 140°C a 150°C antes de su mezcla con el ligante para garantizar una perfecta adherencia térmica in situ.</w:t>
      </w:r>
    </w:p>
    <w:p>
      <w:pPr>
        <w:spacing w:after="200" w:line="276" w:lineRule="auto"/>
      </w:pPr>
      <w:r>
        <w:rPr>
          <w:b/>
        </w:rPr>
        <w:t>2.3. Chapa Puente de Acero:</w:t>
      </w:r>
      <w:r>
        <w:t xml:space="preserve"> Para puentear la luz libre de la junta entre los tableros del puente, se colocará centrada una chapa de acero galvanizado o acero negro pintado con base anticorrosiva de espesor mínimo 6.4 mm (1/4") y un ancho de entre 150 mm y 250 mm según la luz libre de la junta. Esta chapa actuará como soporte de carga del tránsito pesado evitando la deflexión del material flexible en la luz libre.</w:t>
      </w:r>
    </w:p>
    <w:p>
      <w:pPr>
        <w:spacing w:after="200" w:line="276" w:lineRule="auto"/>
      </w:pPr>
      <w:r>
        <w:rPr>
          <w:b/>
        </w:rPr>
        <w:t>2.4. Respaldo de Junta (Backer Rod):</w:t>
      </w:r>
      <w:r>
        <w:t xml:space="preserve"> Para evitar la pérdida del ligante asfáltico líquido durante el vertido inicial, se colocará un cordón de respaldo (Backer Rod) de espuma de polietileno de alta densidad o manguera elastomérica de silicona en la luz de la junta antes de posicionar la chapa puente.</w:t>
      </w:r>
    </w:p>
    <w:p>
      <w:pPr>
        <w:spacing w:before="360" w:after="120"/>
      </w:pPr>
      <w:r>
        <w:rPr>
          <w:b/>
          <w:color w:val="222B45"/>
          <w:sz w:val="26"/>
        </w:rPr>
        <w:t>3. PROCEDIMIENTO CONSTRUCTIVO</w:t>
      </w:r>
    </w:p>
    <w:p>
      <w:pPr>
        <w:spacing w:after="200" w:line="276" w:lineRule="auto"/>
      </w:pPr>
      <w:r>
        <w:rPr>
          <w:b/>
        </w:rPr>
        <w:t>3.1. Preparación y Excavación de la Caja de Junta:</w:t>
      </w:r>
      <w:r>
        <w:t xml:space="preserve"> Se procederá al aserrado perimetral del pavimento asfáltico u hormigón hasta la profundidad indicada (mínimo 50 mm, óptimo 60-80 mm). El ancho del canal de la junta (caja de junta) estará comprendido entre 300 mm y 500 mm. Se demolerá y removerá el material existente mediante martillos neumáticos ligeros sin dañar la losa estructural del puente.</w:t>
      </w:r>
    </w:p>
    <w:p>
      <w:pPr>
        <w:spacing w:after="200" w:line="276" w:lineRule="auto"/>
      </w:pPr>
      <w:r>
        <w:rPr>
          <w:b/>
        </w:rPr>
        <w:t>3.2. Limpieza Técnica y Secado con Termo-lanza:</w:t>
      </w:r>
      <w:r>
        <w:t xml:space="preserve"> Toda la superficie excavada deberá limpiarse meticulosamente mediante el uso de cepillos de acero y aire comprimido exento de aceite. Es mandatorio el uso de una lanza térmica (termo-lanza) alimentada con gas y aire comprimido para secar por completo la humedad superficial del hormigón y calentar el sustrato inmediatamente antes de la imprimación, mejorando el puente de adherencia elástica.</w:t>
      </w:r>
    </w:p>
    <w:p>
      <w:pPr>
        <w:spacing w:after="200" w:line="276" w:lineRule="auto"/>
      </w:pPr>
      <w:r>
        <w:rPr>
          <w:b/>
        </w:rPr>
        <w:t>3.3. Colocación de Respaldo e Imprimación:</w:t>
      </w:r>
      <w:r>
        <w:t xml:space="preserve"> Se inyectará ligante elástico caliente en la luz libre de la junta y se colocará a presión el cordón de respaldo. Posteriormente se pintará la base y las paredes de la caja de junta con ligante elástico a modo de imprimación caliente (temperatura 170°C-180°C) garantizando una cobertura total y estanca.</w:t>
      </w:r>
    </w:p>
    <w:p>
      <w:pPr>
        <w:spacing w:after="200" w:line="276" w:lineRule="auto"/>
      </w:pPr>
      <w:r>
        <w:rPr>
          <w:b/>
        </w:rPr>
        <w:t>3.4. Posicionamiento de la Chapa Puente:</w:t>
      </w:r>
      <w:r>
        <w:t xml:space="preserve"> Se centrará la chapa puente de acero sobre la luz de la junta. Para asegurar la chapa y evitar desplazamientos verticales durante el tránsito, se colocará un perno central o masilla de fijación elástica en el eje de la luz libre.</w:t>
      </w:r>
    </w:p>
    <w:p>
      <w:pPr>
        <w:spacing w:after="200" w:line="276" w:lineRule="auto"/>
      </w:pPr>
      <w:r>
        <w:rPr>
          <w:b/>
        </w:rPr>
        <w:t>3.5. Relleno y Compactación de la Junta:</w:t>
      </w:r>
      <w:r>
        <w:t xml:space="preserve"> La junta se conformará rellenando la caja por capas alternadas de árido basáltico precalentado a 140°C y ligante elastomérico a 180°C. El árido se acomodará de forma manual o mecánica y se compactará para eliminar vacíos de aire. La última capa de árido se cubrirá con ligante hasta enrasar con el nivel de la calzada de rodamiento.</w:t>
      </w:r>
    </w:p>
    <w:p>
      <w:pPr>
        <w:spacing w:after="200" w:line="276" w:lineRule="auto"/>
      </w:pPr>
      <w:r>
        <w:rPr>
          <w:b/>
        </w:rPr>
        <w:t>3.6. Sellado de Terminación y Habilitación al Tránsito:</w:t>
      </w:r>
      <w:r>
        <w:t xml:space="preserve"> Se ejecutará un sellado superficial plano y uniforme aplicando una delgada capa de ligante puro sobre la junta terminada, espolvoreando de inmediato con árido granítico fino seco (arena de fractura de 1-3 mm) para evitar la adherencia de los neumáticos y asegurar la rugosidad de la calzada. La junta deberá enfriarse a temperatura ambiente antes de su habilitación al tránsito pesado (generalmente entre 3 y 4 horas posteriores a la finalización).</w:t>
      </w:r>
    </w:p>
    <w:p>
      <w:pPr>
        <w:spacing w:before="360" w:after="120"/>
      </w:pPr>
      <w:r>
        <w:rPr>
          <w:b/>
          <w:color w:val="222B45"/>
          <w:sz w:val="26"/>
        </w:rPr>
        <w:t>4. CONTROL DE CALIDAD Y ENSAYOS</w:t>
      </w:r>
    </w:p>
    <w:p>
      <w:pPr>
        <w:spacing w:after="200" w:line="276" w:lineRule="auto"/>
      </w:pPr>
      <w:r>
        <w:t>El contratista deberá presentar certificados de control de calidad del fabricante del ligante asfáltico que acrediten el cumplimiento de la Norma IRAM 6838 SA-20. La Inspección de Obra podrá exigir ensayos de penetración (IRAM 6576) y punto de ablandamiento (IRAM 6825) sobre muestras tomadas en obra de las calderas fusoras.</w:t>
      </w:r>
    </w:p>
    <w:p>
      <w:pPr>
        <w:spacing w:before="360" w:after="120"/>
      </w:pPr>
      <w:r>
        <w:rPr>
          <w:b/>
          <w:color w:val="222B45"/>
          <w:sz w:val="26"/>
        </w:rPr>
        <w:t>5. MEDICIÓN Y FORMA DE PAGO</w:t>
      </w:r>
    </w:p>
    <w:p>
      <w:pPr>
        <w:spacing w:after="200" w:line="276" w:lineRule="auto"/>
      </w:pPr>
      <w:r>
        <w:t>Los trabajos descritos en este pliego se medirán y abonarán por metro lineal (ML) de junta Thormack terminada y aprobada por la Inspección de Obra. La forma de pago constituirá compensación total por la provisión de materiales (asfalto SBS, áridos, chapa de acero, respaldo), equipos (calderas, lanza térmica, aserradoras), mano de obra especializada, herramientas, transporte, señalización de obra y cualquier tarea necesaria para la correcta culminación de los trabajos.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